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2021 52 vom 8. September 2021</w:t>
      </w:r>
    </w:p>
    <w:p>
      <w:r>
        <w:t>GR Gerichte, 2021-09-08, DE</w:t>
      </w:r>
    </w:p>
    <w:p>
      <w:r>
        <w:rPr>
          <w:b/>
        </w:rPr>
        <w:t xml:space="preserve">Quelle: </w:t>
      </w:r>
      <w:r>
        <w:t>https://mcp.opencaselaw.ch/entscheid/gr_gerichte_KSK 2021 52</w:t>
      </w:r>
    </w:p>
    <w:p>
      <w:r>
        <w:t>FR: GR_GERICHTE KSK 2021 52 du 8 septembre 2021</w:t>
      </w:r>
    </w:p>
    <w:p>
      <w:r>
        <w:t>IT: GR_GERICHTE KSK 2021 52 del 8 settembre 2021</w:t>
      </w:r>
    </w:p>
    <w:p>
      <w:pPr>
        <w:pStyle w:val="Heading2"/>
      </w:pPr>
      <w:r>
        <w:t>Regeste</w:t>
      </w:r>
    </w:p>
    <w:p>
      <w:r>
        <w:t>Wiederherstellung der Beschwerdefrist / Ungültigkeit der Betreibung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Gemäss Art. 20a Abs. 2 Ziff. 5 Satz 1 SchKG und Art. 61 Abs. 2 lit. a GebV SchKG ist das Beschwerdeverfahren vor der kantonalen Aufsichtsbehörde kosten- los. Die – rein intern zu verbuchenden – Verfahrenskosten von CHF 300.00 ver- bleiben demnach beim Kanton.</w:t>
      </w:r>
    </w:p>
    <w:p>
      <w:r>
        <w:rPr>
          <w:b/>
        </w:rPr>
        <w:t>E. 4</w:t>
      </w:r>
    </w:p>
    <w:p>
      <w:r>
        <w:t>Gemäss Art. 62 GebV SchKG darf im Beschwerdeverfahren nach den Art. 17 ff. SchKG keine Parteientschädigung zugesprochen werden.</w:t>
      </w:r>
    </w:p>
    <w:p>
      <w:r>
        <w:rPr>
          <w:b/>
        </w:rPr>
        <w:t>E. 5</w:t>
      </w:r>
    </w:p>
    <w:p>
      <w:r>
        <w:t>Der vorliegende Entscheid ergeht in einzelrichterlicher Kompetenz (Art. 18 Abs. 3 GOG).</w:t>
      </w:r>
    </w:p>
    <w:p>
      <w:r>
        <w:t>4 /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